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0" w:rsidRPr="009A7E5E" w:rsidRDefault="008112B0" w:rsidP="008112B0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A7E5E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사무실임대차계약서</w:t>
      </w:r>
      <w:r>
        <w:rPr>
          <w:rFonts w:ascii="Times New Roman" w:eastAsiaTheme="majorEastAsia" w:hAnsi="Times New Roman" w:cs="Times New Roman" w:hint="eastAsia"/>
          <w:b/>
          <w:bCs/>
          <w:kern w:val="2"/>
          <w:sz w:val="28"/>
          <w:szCs w:val="28"/>
        </w:rPr>
        <w:t xml:space="preserve"> Hợp đồng thuê văn phòng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○○○(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△△△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쌍방은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공용면적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포함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표시된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사무실외에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화장실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기관실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공용면적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호실에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안분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배정한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기간의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자동연장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일방이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기간만료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   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반대의사를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상대방에게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통지하지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자동으로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5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사용용도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사무실용도로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임차하며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용도로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6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보증금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tbl>
      <w:tblPr>
        <w:tblW w:w="888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6"/>
        <w:gridCol w:w="7074"/>
      </w:tblGrid>
      <w:tr w:rsidR="008112B0" w:rsidRPr="009569E5" w:rsidTr="00345BA7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8112B0" w:rsidRPr="009569E5" w:rsidRDefault="008112B0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보증금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총액</w:t>
            </w:r>
          </w:p>
        </w:tc>
        <w:tc>
          <w:tcPr>
            <w:tcW w:w="7029" w:type="dxa"/>
            <w:vAlign w:val="center"/>
          </w:tcPr>
          <w:p w:rsidR="008112B0" w:rsidRPr="009569E5" w:rsidRDefault="008112B0" w:rsidP="00345BA7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</w:t>
            </w:r>
          </w:p>
        </w:tc>
      </w:tr>
      <w:tr w:rsidR="008112B0" w:rsidRPr="009569E5" w:rsidTr="00345BA7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8112B0" w:rsidRPr="009569E5" w:rsidRDefault="008112B0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계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약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8112B0" w:rsidRPr="009569E5" w:rsidRDefault="008112B0" w:rsidP="00345BA7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계약시에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지불하고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이를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영수함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  <w:tr w:rsidR="008112B0" w:rsidRPr="009569E5" w:rsidTr="00345BA7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8112B0" w:rsidRPr="009569E5" w:rsidRDefault="008112B0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lastRenderedPageBreak/>
              <w:t>중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도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8112B0" w:rsidRPr="009569E5" w:rsidRDefault="008112B0" w:rsidP="00345BA7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 20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년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월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일에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지불한다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  <w:tr w:rsidR="008112B0" w:rsidRPr="009569E5" w:rsidTr="00345BA7">
        <w:trPr>
          <w:trHeight w:val="375"/>
          <w:tblCellSpacing w:w="15" w:type="dxa"/>
        </w:trPr>
        <w:tc>
          <w:tcPr>
            <w:tcW w:w="1761" w:type="dxa"/>
            <w:vAlign w:val="center"/>
          </w:tcPr>
          <w:p w:rsidR="008112B0" w:rsidRPr="009569E5" w:rsidRDefault="008112B0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잔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    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8112B0" w:rsidRPr="009569E5" w:rsidRDefault="008112B0" w:rsidP="00345BA7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20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년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월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일에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지불한다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7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 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원정이며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당일이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공휴일이면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첫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거래일까지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당월분의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부가세별도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도중에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종료되는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못하더라도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귀책사유로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지연된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8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관리비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전기료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청소료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상하수도료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냉난방비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제비용을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 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원정을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부가세별도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지급기일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산정방식은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동일하다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9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공과금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직접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부과되는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제세공과금은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간주임대료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부가가치세와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사업소세는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공과금은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관계없이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10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관리비의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인상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제반시설을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양호한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상태로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운영하기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등귀가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현저한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정부시책의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변경으로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불가피한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중이라도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협의하여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조정할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연체료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소정기일에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못하였을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납부하기로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약정한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익일부터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납부한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)%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연체료를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가산하여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설비설치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수선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실내칸막이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옥외간판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신설하거나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변경하고자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얻어야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소요되는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천정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창문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출입문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관계되는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과실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잘못으로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변형되었을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복구하거나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보수하여야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태만히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안전이나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미관을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유지하는데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필요하다고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인정되는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취하고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응해야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공사로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정상적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영업행위의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불편에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전대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공동으로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연락사무소로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제공할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금지사항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막론하고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공중에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방해가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간판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광고물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게시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설치하는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폭발성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인화성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위험성이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유해하거나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재산을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염려가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내부나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 xml:space="preserve">3.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소란하거나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난잡한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오락의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애완동물의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타인에게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혐오감을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자동판매기를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설치하는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공급하거나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냉난방용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기자재를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15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공용시설의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사용제한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법정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공휴일이나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일요일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사정상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필요시에는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중지하거나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선택에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최소한도로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제한할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공용시설이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사항이므로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이용하여야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16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설치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국선전화를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가설할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소요되는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가설비용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이전비용과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전화료는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17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주차장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이용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장소에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을소유의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무료로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주차차량에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주차관리비는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별도로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따르며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관리유지비와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18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위약금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위반시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포기하고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상환한다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19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면책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천재지변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폭동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불가항력적인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그밖에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책임으로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돌릴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대해서는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전항의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불가항력적인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있더라도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금전지급채무는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이행기한의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허용되지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20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원상복구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의무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수거하고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부속물이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회복하여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열쇠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즈음하여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부수된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재산에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멸실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발견되었을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변상하여야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완료하지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보상하여야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보증금의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반환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충당금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종료되어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을로부터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반환하지만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연체관리비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존재할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공제한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나머지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1.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관리유지비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부담금의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지체하였을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임대차보증금의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반환청구권이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질권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담보의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목적이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3.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지급불능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처하거나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폐업할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4.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압류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화의신청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회사정리절차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개시신청이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5.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영업정지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행정처분을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겨우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 xml:space="preserve">6.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이행하지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판단한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</w:p>
    <w:p w:rsidR="008112B0" w:rsidRPr="009569E5" w:rsidRDefault="008112B0" w:rsidP="008112B0">
      <w:pPr>
        <w:widowControl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]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특약사항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>_____________________________________________________________________________________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_____________________________________________________________________________________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_____________________________________________________________________________________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분쟁의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해결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협의에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모색하되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이루어지지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   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합의관할로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날인한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20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8112B0" w:rsidRPr="009569E5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8112B0" w:rsidRDefault="008112B0" w:rsidP="008112B0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</w:p>
    <w:p w:rsidR="008112B0" w:rsidRDefault="008112B0" w:rsidP="008112B0">
      <w:pPr>
        <w:pStyle w:val="ListParagraph"/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kern w:val="2"/>
          <w:sz w:val="24"/>
          <w:szCs w:val="24"/>
        </w:rPr>
      </w:pPr>
    </w:p>
    <w:p w:rsidR="008112B0" w:rsidRPr="00DD365F" w:rsidRDefault="008112B0" w:rsidP="008112B0">
      <w:pPr>
        <w:pStyle w:val="ListParagraph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Theme="majorEastAsia" w:hAnsi="Times New Roman" w:cs="Times New Roman"/>
          <w:b/>
          <w:kern w:val="2"/>
          <w:sz w:val="24"/>
          <w:szCs w:val="24"/>
        </w:rPr>
      </w:pPr>
      <w:r w:rsidRPr="00DD365F">
        <w:rPr>
          <w:rFonts w:ascii="Times New Roman" w:eastAsiaTheme="majorEastAsia" w:hAnsi="Times New Roman" w:cs="Times New Roman"/>
          <w:b/>
          <w:kern w:val="2"/>
          <w:sz w:val="24"/>
          <w:szCs w:val="24"/>
        </w:rPr>
        <w:t>Từ mới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Diện tích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Thang máy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Nhà xe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kern w:val="2"/>
          <w:sz w:val="24"/>
          <w:szCs w:val="24"/>
        </w:rPr>
        <w:t>지불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Chi trả (tiền)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실내칸막이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 xml:space="preserve">Vách ngăn, vách chắn (bên trong nhà) 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옥외간판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Biển quảng cáo ngoài trời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막론하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Bất chấp, bất kể, bất luận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Dính, dán, gắn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Trao trả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 xml:space="preserve">Cưỡng chế thi hành 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ự tranh cãi, mâu thuẫn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날인하다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Đóng dấu</w:t>
      </w: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112B0" w:rsidRDefault="008112B0" w:rsidP="008112B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112B0" w:rsidRDefault="008112B0" w:rsidP="008112B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8112B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B0"/>
    <w:rsid w:val="005651C2"/>
    <w:rsid w:val="006705A7"/>
    <w:rsid w:val="008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001D-74DE-4C1D-BD1B-7368ED2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B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722</Words>
  <Characters>4117</Characters>
  <Application>Microsoft Office Word</Application>
  <DocSecurity>0</DocSecurity>
  <Lines>34</Lines>
  <Paragraphs>9</Paragraphs>
  <ScaleCrop>false</ScaleCrop>
  <Company>iCare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2022-05-16T11:48:00Z</dcterms:created>
  <dcterms:modified xsi:type="dcterms:W3CDTF">2022-05-16T11:48:00Z</dcterms:modified>
</cp:coreProperties>
</file>